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5AD6" w14:textId="0DE13385" w:rsidR="00C43F34" w:rsidRDefault="00696D4B" w:rsidP="00696D4B">
      <w:pPr>
        <w:jc w:val="center"/>
      </w:pPr>
      <w:r w:rsidRPr="002B55D0">
        <w:rPr>
          <w:rFonts w:hint="eastAsia"/>
        </w:rPr>
        <w:t>補足資料：倉敷市下水道管路施設の</w:t>
      </w:r>
      <w:r w:rsidR="00AE6117" w:rsidRPr="002B55D0">
        <w:rPr>
          <w:rFonts w:hint="eastAsia"/>
        </w:rPr>
        <w:t>老朽化対策</w:t>
      </w:r>
      <w:r>
        <w:rPr>
          <w:noProof/>
        </w:rPr>
        <mc:AlternateContent>
          <mc:Choice Requires="wps">
            <w:drawing>
              <wp:anchor distT="45720" distB="45720" distL="114300" distR="114300" simplePos="0" relativeHeight="251659264" behindDoc="0" locked="0" layoutInCell="1" allowOverlap="1" wp14:anchorId="3A8E1135" wp14:editId="4F150B9B">
                <wp:simplePos x="0" y="0"/>
                <wp:positionH relativeFrom="margin">
                  <wp:align>right</wp:align>
                </wp:positionH>
                <wp:positionV relativeFrom="paragraph">
                  <wp:posOffset>0</wp:posOffset>
                </wp:positionV>
                <wp:extent cx="885825" cy="1404620"/>
                <wp:effectExtent l="0" t="0" r="2857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404620"/>
                        </a:xfrm>
                        <a:prstGeom prst="rect">
                          <a:avLst/>
                        </a:prstGeom>
                        <a:solidFill>
                          <a:srgbClr val="FFFFFF"/>
                        </a:solidFill>
                        <a:ln w="9525">
                          <a:solidFill>
                            <a:srgbClr val="EE0000"/>
                          </a:solidFill>
                          <a:miter lim="800000"/>
                          <a:headEnd/>
                          <a:tailEnd/>
                        </a:ln>
                      </wps:spPr>
                      <wps:txbx>
                        <w:txbxContent>
                          <w:p w14:paraId="0708B8BA" w14:textId="362192A7" w:rsidR="00696D4B" w:rsidRPr="00696D4B" w:rsidRDefault="00696D4B" w:rsidP="00696D4B">
                            <w:pPr>
                              <w:jc w:val="center"/>
                              <w:rPr>
                                <w:color w:val="EE0000"/>
                              </w:rPr>
                            </w:pPr>
                            <w:r w:rsidRPr="00696D4B">
                              <w:rPr>
                                <w:rFonts w:hint="eastAsia"/>
                                <w:color w:val="EE0000"/>
                              </w:rPr>
                              <w:t>補足資料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E1135" id="_x0000_t202" coordsize="21600,21600" o:spt="202" path="m,l,21600r21600,l21600,xe">
                <v:stroke joinstyle="miter"/>
                <v:path gradientshapeok="t" o:connecttype="rect"/>
              </v:shapetype>
              <v:shape id="テキスト ボックス 2" o:spid="_x0000_s1026" type="#_x0000_t202" style="position:absolute;left:0;text-align:left;margin-left:18.55pt;margin-top:0;width:69.7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" strokecolor="#e00">
                <v:textbox style="mso-fit-shape-to-text:t">
                  <w:txbxContent>
                    <w:p w14:paraId="0708B8BA" w14:textId="362192A7" w:rsidR="00696D4B" w:rsidRPr="00696D4B" w:rsidRDefault="00696D4B" w:rsidP="00696D4B">
                      <w:pPr>
                        <w:jc w:val="center"/>
                        <w:rPr>
                          <w:color w:val="EE0000"/>
                        </w:rPr>
                      </w:pPr>
                      <w:r w:rsidRPr="00696D4B">
                        <w:rPr>
                          <w:rFonts w:hint="eastAsia"/>
                          <w:color w:val="EE0000"/>
                        </w:rPr>
                        <w:t>補足資料</w:t>
                      </w:r>
                    </w:p>
                  </w:txbxContent>
                </v:textbox>
                <w10:wrap type="square" anchorx="margin"/>
              </v:shape>
            </w:pict>
          </mc:Fallback>
        </mc:AlternateContent>
      </w:r>
    </w:p>
    <w:p w14:paraId="2C97FDC2" w14:textId="7EC27BD7" w:rsidR="00696D4B" w:rsidRDefault="00696D4B" w:rsidP="00696D4B"/>
    <w:p w14:paraId="2A97C2D9" w14:textId="6005AC2C" w:rsidR="00696D4B" w:rsidRDefault="00696D4B" w:rsidP="00696D4B">
      <w:r>
        <w:rPr>
          <w:rFonts w:hint="eastAsia"/>
        </w:rPr>
        <w:t>１．現在までのストックマネジメント計画の概要</w:t>
      </w:r>
    </w:p>
    <w:p w14:paraId="3F6F4C3F" w14:textId="581AD35F" w:rsidR="00696D4B" w:rsidRDefault="00101ADE" w:rsidP="00696D4B">
      <w:r>
        <w:rPr>
          <w:rFonts w:hint="eastAsia"/>
        </w:rPr>
        <w:t xml:space="preserve">　本市のストックマネジメント計画は平成29年度にⅠ期を策定し、現在は令和9年度までを計画対象期間としたⅡ期にあたるストックマネジメント計画を運用しております。</w:t>
      </w:r>
    </w:p>
    <w:p w14:paraId="0544074A" w14:textId="52AC596F" w:rsidR="00101ADE" w:rsidRDefault="00101ADE" w:rsidP="00696D4B">
      <w:r>
        <w:rPr>
          <w:rFonts w:hint="eastAsia"/>
        </w:rPr>
        <w:t xml:space="preserve">　これまで本市の老朽化対策における調査は、特に劣化が懸念されるコンクリート管、陶管を優先的に実施し、令和9年度までには</w:t>
      </w:r>
      <w:r w:rsidR="008B6481">
        <w:rPr>
          <w:rFonts w:hint="eastAsia"/>
        </w:rPr>
        <w:t>これらの管渠について</w:t>
      </w:r>
      <w:r>
        <w:rPr>
          <w:rFonts w:hint="eastAsia"/>
        </w:rPr>
        <w:t>一通りの点検、対策が完了する見込みです。</w:t>
      </w:r>
    </w:p>
    <w:p w14:paraId="3110A6C9" w14:textId="068203A7" w:rsidR="00696D4B" w:rsidRDefault="00101ADE" w:rsidP="00696D4B">
      <w:r>
        <w:rPr>
          <w:rFonts w:hint="eastAsia"/>
        </w:rPr>
        <w:t xml:space="preserve">　なお、</w:t>
      </w:r>
      <w:r w:rsidR="00972D1E">
        <w:rPr>
          <w:rFonts w:hint="eastAsia"/>
        </w:rPr>
        <w:t>現在の管路施設の保全区分については、以下で運用しております。</w:t>
      </w:r>
    </w:p>
    <w:p w14:paraId="77ADD5E6" w14:textId="728F6273" w:rsidR="00972D1E" w:rsidRDefault="00972D1E" w:rsidP="00696D4B"/>
    <w:p w14:paraId="40CC50D8" w14:textId="60704330" w:rsidR="00972D1E" w:rsidRDefault="00972D1E" w:rsidP="00972D1E">
      <w:pPr>
        <w:pStyle w:val="af"/>
        <w:jc w:val="center"/>
      </w:pPr>
      <w:r>
        <w:t xml:space="preserve">表 </w:t>
      </w:r>
      <w:fldSimple w:instr=" SEQ 表 \* ARABIC ">
        <w:r w:rsidR="00995130">
          <w:rPr>
            <w:noProof/>
          </w:rPr>
          <w:t>1</w:t>
        </w:r>
      </w:fldSimple>
      <w:r>
        <w:rPr>
          <w:rFonts w:hint="eastAsia"/>
        </w:rPr>
        <w:t xml:space="preserve">　管路施設の保全区分</w:t>
      </w:r>
    </w:p>
    <w:tbl>
      <w:tblPr>
        <w:tblStyle w:val="aa"/>
        <w:tblW w:w="9067" w:type="dxa"/>
        <w:tblLook w:val="04A0" w:firstRow="1" w:lastRow="0" w:firstColumn="1" w:lastColumn="0" w:noHBand="0" w:noVBand="1"/>
      </w:tblPr>
      <w:tblGrid>
        <w:gridCol w:w="3256"/>
        <w:gridCol w:w="2976"/>
        <w:gridCol w:w="2835"/>
      </w:tblGrid>
      <w:tr w:rsidR="007129EE" w14:paraId="7BCA5F37" w14:textId="77777777" w:rsidTr="007129EE">
        <w:trPr>
          <w:trHeight w:val="360"/>
        </w:trPr>
        <w:tc>
          <w:tcPr>
            <w:tcW w:w="6232" w:type="dxa"/>
            <w:gridSpan w:val="2"/>
            <w:shd w:val="clear" w:color="auto" w:fill="D9D9D9" w:themeFill="background1" w:themeFillShade="D9"/>
          </w:tcPr>
          <w:p w14:paraId="40833CBA" w14:textId="461D5830" w:rsidR="007129EE" w:rsidRDefault="007129EE" w:rsidP="007129EE">
            <w:pPr>
              <w:jc w:val="center"/>
            </w:pPr>
            <w:r>
              <w:rPr>
                <w:rFonts w:hint="eastAsia"/>
              </w:rPr>
              <w:t>予防保全</w:t>
            </w:r>
          </w:p>
        </w:tc>
        <w:tc>
          <w:tcPr>
            <w:tcW w:w="2835" w:type="dxa"/>
            <w:vMerge w:val="restart"/>
            <w:shd w:val="clear" w:color="auto" w:fill="D9D9D9" w:themeFill="background1" w:themeFillShade="D9"/>
            <w:vAlign w:val="center"/>
          </w:tcPr>
          <w:p w14:paraId="54BD4344" w14:textId="0526055F" w:rsidR="007129EE" w:rsidRDefault="007129EE" w:rsidP="007129EE">
            <w:pPr>
              <w:jc w:val="center"/>
            </w:pPr>
            <w:r>
              <w:rPr>
                <w:rFonts w:hint="eastAsia"/>
              </w:rPr>
              <w:t>事後保全</w:t>
            </w:r>
          </w:p>
        </w:tc>
      </w:tr>
      <w:tr w:rsidR="007129EE" w14:paraId="3D7933A1" w14:textId="77777777" w:rsidTr="007129EE">
        <w:trPr>
          <w:trHeight w:val="360"/>
        </w:trPr>
        <w:tc>
          <w:tcPr>
            <w:tcW w:w="3256" w:type="dxa"/>
            <w:shd w:val="clear" w:color="auto" w:fill="D9D9D9" w:themeFill="background1" w:themeFillShade="D9"/>
          </w:tcPr>
          <w:p w14:paraId="14ECEF7A" w14:textId="738B88D3" w:rsidR="007129EE" w:rsidRDefault="007129EE" w:rsidP="007129EE">
            <w:pPr>
              <w:jc w:val="center"/>
            </w:pPr>
            <w:r>
              <w:rPr>
                <w:rFonts w:hint="eastAsia"/>
              </w:rPr>
              <w:t>状態監視保全</w:t>
            </w:r>
          </w:p>
        </w:tc>
        <w:tc>
          <w:tcPr>
            <w:tcW w:w="2976" w:type="dxa"/>
            <w:shd w:val="clear" w:color="auto" w:fill="D9D9D9" w:themeFill="background1" w:themeFillShade="D9"/>
          </w:tcPr>
          <w:p w14:paraId="54603703" w14:textId="48AF962B" w:rsidR="007129EE" w:rsidRDefault="007129EE" w:rsidP="007129EE">
            <w:pPr>
              <w:jc w:val="center"/>
            </w:pPr>
            <w:r>
              <w:rPr>
                <w:rFonts w:hint="eastAsia"/>
              </w:rPr>
              <w:t>時間計画保全</w:t>
            </w:r>
          </w:p>
        </w:tc>
        <w:tc>
          <w:tcPr>
            <w:tcW w:w="2835" w:type="dxa"/>
            <w:vMerge/>
          </w:tcPr>
          <w:p w14:paraId="60ABE4E6" w14:textId="45591276" w:rsidR="007129EE" w:rsidRDefault="007129EE" w:rsidP="00696D4B"/>
        </w:tc>
      </w:tr>
      <w:tr w:rsidR="007129EE" w14:paraId="50CA3122" w14:textId="77777777" w:rsidTr="007129EE">
        <w:trPr>
          <w:trHeight w:val="360"/>
        </w:trPr>
        <w:tc>
          <w:tcPr>
            <w:tcW w:w="3256" w:type="dxa"/>
          </w:tcPr>
          <w:p w14:paraId="2AD88D73" w14:textId="07ED6875" w:rsidR="007129EE" w:rsidRDefault="007129EE" w:rsidP="00696D4B">
            <w:r>
              <w:rPr>
                <w:rFonts w:hint="eastAsia"/>
              </w:rPr>
              <w:t>・管渠、人孔</w:t>
            </w:r>
          </w:p>
          <w:p w14:paraId="422C1167" w14:textId="670E6522" w:rsidR="007129EE" w:rsidRDefault="007129EE" w:rsidP="00696D4B">
            <w:r>
              <w:rPr>
                <w:rFonts w:hint="eastAsia"/>
              </w:rPr>
              <w:t>・腐食環境下の人孔蓋</w:t>
            </w:r>
          </w:p>
        </w:tc>
        <w:tc>
          <w:tcPr>
            <w:tcW w:w="2976" w:type="dxa"/>
          </w:tcPr>
          <w:p w14:paraId="3825D623" w14:textId="78033F4B" w:rsidR="007129EE" w:rsidRDefault="007129EE" w:rsidP="00696D4B">
            <w:r>
              <w:rPr>
                <w:rFonts w:hint="eastAsia"/>
              </w:rPr>
              <w:t>・人孔蓋</w:t>
            </w:r>
          </w:p>
        </w:tc>
        <w:tc>
          <w:tcPr>
            <w:tcW w:w="2835" w:type="dxa"/>
          </w:tcPr>
          <w:p w14:paraId="77E42E46" w14:textId="77777777" w:rsidR="007129EE" w:rsidRDefault="007129EE" w:rsidP="00696D4B">
            <w:r>
              <w:rPr>
                <w:rFonts w:hint="eastAsia"/>
              </w:rPr>
              <w:t>・取付管・ます</w:t>
            </w:r>
          </w:p>
          <w:p w14:paraId="2FA4652D" w14:textId="6FE37685" w:rsidR="007129EE" w:rsidRDefault="007129EE" w:rsidP="00696D4B">
            <w:r>
              <w:rPr>
                <w:rFonts w:hint="eastAsia"/>
              </w:rPr>
              <w:t>・マンホールポンプ設備</w:t>
            </w:r>
          </w:p>
        </w:tc>
      </w:tr>
    </w:tbl>
    <w:p w14:paraId="564CFDC3" w14:textId="5515273E" w:rsidR="00972D1E" w:rsidRPr="00E85EC8" w:rsidRDefault="007129EE" w:rsidP="00E85EC8">
      <w:pPr>
        <w:adjustRightInd w:val="0"/>
        <w:snapToGrid w:val="0"/>
        <w:rPr>
          <w:sz w:val="18"/>
          <w:szCs w:val="18"/>
        </w:rPr>
      </w:pPr>
      <w:r w:rsidRPr="00E85EC8">
        <w:rPr>
          <w:rFonts w:hint="eastAsia"/>
          <w:sz w:val="18"/>
          <w:szCs w:val="18"/>
        </w:rPr>
        <w:t>※状態監視保全：</w:t>
      </w:r>
      <w:r w:rsidR="00E85EC8" w:rsidRPr="00E85EC8">
        <w:rPr>
          <w:rFonts w:hint="eastAsia"/>
          <w:sz w:val="18"/>
          <w:szCs w:val="18"/>
        </w:rPr>
        <w:t>施設の劣化状況や動作状況の確認を行い、その状態に応じて対策を行う管理方法</w:t>
      </w:r>
    </w:p>
    <w:p w14:paraId="4BB42C4F" w14:textId="0E719636" w:rsidR="007129EE" w:rsidRPr="00E85EC8" w:rsidRDefault="007129EE" w:rsidP="00E85EC8">
      <w:pPr>
        <w:adjustRightInd w:val="0"/>
        <w:snapToGrid w:val="0"/>
        <w:rPr>
          <w:sz w:val="18"/>
          <w:szCs w:val="18"/>
        </w:rPr>
      </w:pPr>
      <w:r w:rsidRPr="00E85EC8">
        <w:rPr>
          <w:rFonts w:hint="eastAsia"/>
          <w:sz w:val="18"/>
          <w:szCs w:val="18"/>
        </w:rPr>
        <w:t xml:space="preserve">　 時間計画保全：</w:t>
      </w:r>
      <w:r w:rsidR="00E85EC8" w:rsidRPr="00E85EC8">
        <w:rPr>
          <w:rFonts w:hint="eastAsia"/>
          <w:sz w:val="18"/>
          <w:szCs w:val="18"/>
        </w:rPr>
        <w:t>施設の特性に応じて予め定めた周期（目標耐用年数等）により、対策を行う管理方法</w:t>
      </w:r>
    </w:p>
    <w:p w14:paraId="452AD42F" w14:textId="7E995031" w:rsidR="007129EE" w:rsidRPr="00E85EC8" w:rsidRDefault="007129EE" w:rsidP="00E85EC8">
      <w:pPr>
        <w:adjustRightInd w:val="0"/>
        <w:snapToGrid w:val="0"/>
        <w:rPr>
          <w:sz w:val="18"/>
          <w:szCs w:val="18"/>
        </w:rPr>
      </w:pPr>
      <w:r w:rsidRPr="00E85EC8">
        <w:rPr>
          <w:rFonts w:hint="eastAsia"/>
          <w:sz w:val="18"/>
          <w:szCs w:val="18"/>
        </w:rPr>
        <w:t xml:space="preserve">　 事後保全：</w:t>
      </w:r>
      <w:r w:rsidR="00E85EC8" w:rsidRPr="00E85EC8">
        <w:rPr>
          <w:rFonts w:hint="eastAsia"/>
          <w:sz w:val="18"/>
          <w:szCs w:val="18"/>
        </w:rPr>
        <w:t>施設の異状の兆候（機能低下等）や故障の発生後に対策を行う管理方法</w:t>
      </w:r>
    </w:p>
    <w:p w14:paraId="171FF3D0" w14:textId="7390F727" w:rsidR="00972D1E" w:rsidRPr="00E85EC8" w:rsidRDefault="00972D1E" w:rsidP="00696D4B"/>
    <w:p w14:paraId="6D12D261" w14:textId="7484947B" w:rsidR="00696D4B" w:rsidRDefault="00696D4B" w:rsidP="00696D4B">
      <w:r>
        <w:rPr>
          <w:rFonts w:hint="eastAsia"/>
        </w:rPr>
        <w:t>２．</w:t>
      </w:r>
      <w:r w:rsidR="00101ADE">
        <w:rPr>
          <w:rFonts w:hint="eastAsia"/>
        </w:rPr>
        <w:t>WPPP期間中の主な老朽化対策の対象</w:t>
      </w:r>
    </w:p>
    <w:p w14:paraId="7E2C7A1A" w14:textId="5DF2280D" w:rsidR="00101ADE" w:rsidRPr="002B55D0" w:rsidRDefault="007129EE" w:rsidP="00696D4B">
      <w:r w:rsidRPr="002B55D0">
        <w:rPr>
          <w:rFonts w:hint="eastAsia"/>
        </w:rPr>
        <w:t xml:space="preserve">　令和10年度以降は</w:t>
      </w:r>
      <w:r w:rsidR="0032140D" w:rsidRPr="002B55D0">
        <w:rPr>
          <w:rFonts w:hint="eastAsia"/>
        </w:rPr>
        <w:t>、</w:t>
      </w:r>
      <w:r w:rsidRPr="002B55D0">
        <w:rPr>
          <w:rFonts w:hint="eastAsia"/>
        </w:rPr>
        <w:t>樹脂系の管渠や人孔本体を中心に点検調査および修繕改築を行う予定です。</w:t>
      </w:r>
      <w:r w:rsidR="00272A1A" w:rsidRPr="002B55D0">
        <w:rPr>
          <w:rFonts w:hint="eastAsia"/>
        </w:rPr>
        <w:t>ここでは、</w:t>
      </w:r>
      <w:r w:rsidR="008428E9" w:rsidRPr="002B55D0">
        <w:rPr>
          <w:rFonts w:hint="eastAsia"/>
        </w:rPr>
        <w:t>令和</w:t>
      </w:r>
      <w:r w:rsidR="00272A1A" w:rsidRPr="002B55D0">
        <w:rPr>
          <w:rFonts w:hint="eastAsia"/>
        </w:rPr>
        <w:t>6</w:t>
      </w:r>
      <w:r w:rsidR="008428E9" w:rsidRPr="002B55D0">
        <w:rPr>
          <w:rFonts w:hint="eastAsia"/>
        </w:rPr>
        <w:t>年度</w:t>
      </w:r>
      <w:r w:rsidR="00272A1A" w:rsidRPr="002B55D0">
        <w:rPr>
          <w:rFonts w:hint="eastAsia"/>
        </w:rPr>
        <w:t>末</w:t>
      </w:r>
      <w:r w:rsidR="008428E9" w:rsidRPr="002B55D0">
        <w:rPr>
          <w:rFonts w:hint="eastAsia"/>
        </w:rPr>
        <w:t>時点</w:t>
      </w:r>
      <w:r w:rsidR="00272A1A" w:rsidRPr="002B55D0">
        <w:rPr>
          <w:rFonts w:hint="eastAsia"/>
        </w:rPr>
        <w:t>の下水道台帳に登録された</w:t>
      </w:r>
      <w:r w:rsidR="008428E9" w:rsidRPr="002B55D0">
        <w:rPr>
          <w:rFonts w:hint="eastAsia"/>
        </w:rPr>
        <w:t>管路情報をもとに</w:t>
      </w:r>
      <w:r w:rsidRPr="002B55D0">
        <w:rPr>
          <w:rFonts w:hint="eastAsia"/>
        </w:rPr>
        <w:t>各施設の経過年数毎の数量を参考に示します。</w:t>
      </w:r>
    </w:p>
    <w:p w14:paraId="5FCEA6D8" w14:textId="0CB2359E" w:rsidR="00101ADE" w:rsidRPr="002B55D0" w:rsidRDefault="00101ADE" w:rsidP="00696D4B"/>
    <w:p w14:paraId="6633815A" w14:textId="38C632F1" w:rsidR="007275E6" w:rsidRPr="002B55D0" w:rsidRDefault="007275E6" w:rsidP="00696D4B">
      <w:r w:rsidRPr="002B55D0">
        <w:rPr>
          <w:rFonts w:hint="eastAsia"/>
        </w:rPr>
        <w:t>（１）樹脂系管渠に関する情報</w:t>
      </w:r>
    </w:p>
    <w:p w14:paraId="66A8E9C7" w14:textId="4E238B91" w:rsidR="007275E6" w:rsidRPr="002B55D0" w:rsidRDefault="007275E6" w:rsidP="0032140D">
      <w:pPr>
        <w:ind w:firstLineChars="100" w:firstLine="210"/>
      </w:pPr>
      <w:r w:rsidRPr="002B55D0">
        <w:rPr>
          <w:rFonts w:hint="eastAsia"/>
        </w:rPr>
        <w:t>本市の管理する樹脂系管渠は</w:t>
      </w:r>
      <w:r w:rsidR="00DE3527" w:rsidRPr="002B55D0">
        <w:rPr>
          <w:rFonts w:hint="eastAsia"/>
        </w:rPr>
        <w:t>2,0</w:t>
      </w:r>
      <w:r w:rsidR="0032140D" w:rsidRPr="002B55D0">
        <w:rPr>
          <w:rFonts w:hint="eastAsia"/>
        </w:rPr>
        <w:t>00</w:t>
      </w:r>
      <w:r w:rsidRPr="002B55D0">
        <w:rPr>
          <w:rFonts w:hint="eastAsia"/>
        </w:rPr>
        <w:t>km</w:t>
      </w:r>
      <w:r w:rsidR="0032140D" w:rsidRPr="002B55D0">
        <w:rPr>
          <w:rFonts w:hint="eastAsia"/>
        </w:rPr>
        <w:t>を超え（下水道台帳上の数値であり、実際の延長とは誤差があります）</w:t>
      </w:r>
      <w:r w:rsidR="00AB325C" w:rsidRPr="002B55D0">
        <w:rPr>
          <w:rFonts w:hint="eastAsia"/>
        </w:rPr>
        <w:t>、本市の管渠延長の約</w:t>
      </w:r>
      <w:r w:rsidR="00DE3527" w:rsidRPr="002B55D0">
        <w:rPr>
          <w:rFonts w:hint="eastAsia"/>
        </w:rPr>
        <w:t>8</w:t>
      </w:r>
      <w:r w:rsidR="00AB325C" w:rsidRPr="002B55D0">
        <w:rPr>
          <w:rFonts w:hint="eastAsia"/>
        </w:rPr>
        <w:t>割を占めます</w:t>
      </w:r>
      <w:r w:rsidRPr="002B55D0">
        <w:rPr>
          <w:rFonts w:hint="eastAsia"/>
        </w:rPr>
        <w:t>。</w:t>
      </w:r>
    </w:p>
    <w:p w14:paraId="682838E7" w14:textId="58B37FC8" w:rsidR="00DE3527" w:rsidRDefault="00E85EC8" w:rsidP="0032140D">
      <w:pPr>
        <w:ind w:firstLineChars="100" w:firstLine="210"/>
      </w:pPr>
      <w:r w:rsidRPr="002B55D0">
        <w:rPr>
          <w:rFonts w:hint="eastAsia"/>
        </w:rPr>
        <w:t>樹脂系管渠</w:t>
      </w:r>
      <w:r w:rsidR="00AB325C" w:rsidRPr="002B55D0">
        <w:rPr>
          <w:rFonts w:hint="eastAsia"/>
        </w:rPr>
        <w:t>の</w:t>
      </w:r>
      <w:r w:rsidR="00116CF5" w:rsidRPr="002B55D0">
        <w:rPr>
          <w:rFonts w:hint="eastAsia"/>
        </w:rPr>
        <w:t>耐用年数である</w:t>
      </w:r>
      <w:r w:rsidR="00AB325C" w:rsidRPr="002B55D0">
        <w:rPr>
          <w:rFonts w:hint="eastAsia"/>
        </w:rPr>
        <w:t>50年</w:t>
      </w:r>
      <w:r w:rsidR="00116CF5" w:rsidRPr="002B55D0">
        <w:rPr>
          <w:rFonts w:hint="eastAsia"/>
        </w:rPr>
        <w:t>を経過した管渠延長は令和6年度末時点で</w:t>
      </w:r>
      <w:r w:rsidR="00BC0CD4" w:rsidRPr="002B55D0">
        <w:rPr>
          <w:rFonts w:hint="eastAsia"/>
        </w:rPr>
        <w:t>16</w:t>
      </w:r>
      <w:r w:rsidR="00116CF5" w:rsidRPr="002B55D0">
        <w:rPr>
          <w:rFonts w:hint="eastAsia"/>
        </w:rPr>
        <w:t>kmとなります。今後20年後（令和26年度）には、50年経過管の延長は</w:t>
      </w:r>
      <w:r w:rsidR="00BC0CD4" w:rsidRPr="002B55D0">
        <w:rPr>
          <w:rFonts w:hint="eastAsia"/>
        </w:rPr>
        <w:t>669</w:t>
      </w:r>
      <w:r w:rsidR="00116CF5" w:rsidRPr="002B55D0">
        <w:rPr>
          <w:rFonts w:hint="eastAsia"/>
        </w:rPr>
        <w:t>kmとなり、現在の</w:t>
      </w:r>
      <w:r w:rsidR="00BC0CD4" w:rsidRPr="002B55D0">
        <w:rPr>
          <w:rFonts w:hint="eastAsia"/>
        </w:rPr>
        <w:t>約40</w:t>
      </w:r>
      <w:r w:rsidR="00116CF5" w:rsidRPr="002B55D0">
        <w:rPr>
          <w:rFonts w:hint="eastAsia"/>
        </w:rPr>
        <w:t>倍の管渠が更新時期</w:t>
      </w:r>
      <w:r w:rsidR="00116CF5" w:rsidRPr="00BC0CD4">
        <w:rPr>
          <w:rFonts w:hint="eastAsia"/>
        </w:rPr>
        <w:t>を迎えることとなります</w:t>
      </w:r>
    </w:p>
    <w:p w14:paraId="3D6AA2BF" w14:textId="032B55FA" w:rsidR="0032140D" w:rsidRDefault="0032140D" w:rsidP="0032140D">
      <w:pPr>
        <w:ind w:firstLineChars="100" w:firstLine="210"/>
      </w:pPr>
      <w:r w:rsidRPr="00BC0CD4">
        <w:rPr>
          <w:noProof/>
        </w:rPr>
        <w:drawing>
          <wp:anchor distT="0" distB="0" distL="114300" distR="114300" simplePos="0" relativeHeight="251660288" behindDoc="0" locked="0" layoutInCell="1" allowOverlap="1" wp14:anchorId="5CB40B0C" wp14:editId="52C5A97B">
            <wp:simplePos x="0" y="0"/>
            <wp:positionH relativeFrom="margin">
              <wp:posOffset>680926</wp:posOffset>
            </wp:positionH>
            <wp:positionV relativeFrom="paragraph">
              <wp:posOffset>28575</wp:posOffset>
            </wp:positionV>
            <wp:extent cx="4549560" cy="2443933"/>
            <wp:effectExtent l="0" t="0" r="0" b="0"/>
            <wp:wrapNone/>
            <wp:docPr id="99552441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49560" cy="24439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2D35B2" w14:textId="6399179A" w:rsidR="0032140D" w:rsidRDefault="0032140D" w:rsidP="0032140D">
      <w:pPr>
        <w:ind w:firstLineChars="100" w:firstLine="210"/>
      </w:pPr>
    </w:p>
    <w:p w14:paraId="31F0BB2A" w14:textId="77777777" w:rsidR="0032140D" w:rsidRDefault="0032140D" w:rsidP="0032140D">
      <w:pPr>
        <w:ind w:firstLineChars="100" w:firstLine="210"/>
      </w:pPr>
    </w:p>
    <w:p w14:paraId="502BD4E7" w14:textId="77777777" w:rsidR="00116CF5" w:rsidRDefault="00116CF5" w:rsidP="00696D4B"/>
    <w:p w14:paraId="00B1F6A5" w14:textId="77777777" w:rsidR="00116CF5" w:rsidRDefault="00116CF5" w:rsidP="00696D4B"/>
    <w:p w14:paraId="7D97C0EA" w14:textId="77777777" w:rsidR="00116CF5" w:rsidRDefault="00116CF5" w:rsidP="00696D4B"/>
    <w:p w14:paraId="7F92BD6B" w14:textId="77777777" w:rsidR="00116CF5" w:rsidRDefault="00116CF5" w:rsidP="00696D4B"/>
    <w:p w14:paraId="44754E4F" w14:textId="77777777" w:rsidR="00116CF5" w:rsidRDefault="00116CF5" w:rsidP="00696D4B"/>
    <w:p w14:paraId="2C03359F" w14:textId="77777777" w:rsidR="00116CF5" w:rsidRDefault="00116CF5" w:rsidP="00696D4B"/>
    <w:p w14:paraId="24D40B6E" w14:textId="77777777" w:rsidR="00116CF5" w:rsidRDefault="00116CF5" w:rsidP="00696D4B"/>
    <w:p w14:paraId="776F77C9" w14:textId="77777777" w:rsidR="00116CF5" w:rsidRDefault="00116CF5" w:rsidP="00696D4B"/>
    <w:p w14:paraId="384C2A64" w14:textId="6DC2D05C" w:rsidR="00116CF5" w:rsidRDefault="00116CF5" w:rsidP="00116CF5">
      <w:pPr>
        <w:pStyle w:val="af"/>
        <w:jc w:val="center"/>
        <w:rPr>
          <w:lang w:eastAsia="zh-CN"/>
        </w:rPr>
      </w:pPr>
      <w:r>
        <w:rPr>
          <w:lang w:eastAsia="zh-CN"/>
        </w:rPr>
        <w:t xml:space="preserve">図 </w:t>
      </w:r>
      <w:r w:rsidR="00A24611">
        <w:rPr>
          <w:lang w:eastAsia="zh-CN"/>
        </w:rPr>
        <w:fldChar w:fldCharType="begin"/>
      </w:r>
      <w:r w:rsidR="00A24611">
        <w:rPr>
          <w:lang w:eastAsia="zh-CN"/>
        </w:rPr>
        <w:instrText xml:space="preserve"> SEQ 図 \* ARABIC </w:instrText>
      </w:r>
      <w:r w:rsidR="00A24611">
        <w:rPr>
          <w:lang w:eastAsia="zh-CN"/>
        </w:rPr>
        <w:fldChar w:fldCharType="separate"/>
      </w:r>
      <w:r w:rsidR="00A24611">
        <w:rPr>
          <w:noProof/>
          <w:lang w:eastAsia="zh-CN"/>
        </w:rPr>
        <w:t>1</w:t>
      </w:r>
      <w:r w:rsidR="00A24611">
        <w:rPr>
          <w:lang w:eastAsia="zh-CN"/>
        </w:rPr>
        <w:fldChar w:fldCharType="end"/>
      </w:r>
      <w:r>
        <w:rPr>
          <w:rFonts w:hint="eastAsia"/>
          <w:lang w:eastAsia="zh-CN"/>
        </w:rPr>
        <w:t xml:space="preserve">　経過年数別延長（樹脂系管渠）</w:t>
      </w:r>
    </w:p>
    <w:p w14:paraId="6BEBFD84" w14:textId="6EAD60AF" w:rsidR="00AC4C2A" w:rsidRDefault="000C34FF" w:rsidP="000C34FF">
      <w:pPr>
        <w:jc w:val="center"/>
      </w:pPr>
      <w:r w:rsidRPr="000C34FF">
        <w:rPr>
          <w:noProof/>
        </w:rPr>
        <w:lastRenderedPageBreak/>
        <w:drawing>
          <wp:inline distT="0" distB="0" distL="0" distR="0" wp14:anchorId="3F4E0775" wp14:editId="7F1339FF">
            <wp:extent cx="5438775" cy="8844080"/>
            <wp:effectExtent l="0" t="0" r="0" b="0"/>
            <wp:docPr id="213366016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3186" cy="8851253"/>
                    </a:xfrm>
                    <a:prstGeom prst="rect">
                      <a:avLst/>
                    </a:prstGeom>
                    <a:noFill/>
                    <a:ln>
                      <a:noFill/>
                    </a:ln>
                  </pic:spPr>
                </pic:pic>
              </a:graphicData>
            </a:graphic>
          </wp:inline>
        </w:drawing>
      </w:r>
    </w:p>
    <w:p w14:paraId="4B26E9CC" w14:textId="774B35B0" w:rsidR="00A24611" w:rsidRDefault="00A24611" w:rsidP="00A24611">
      <w:pPr>
        <w:pStyle w:val="af"/>
        <w:jc w:val="center"/>
      </w:pPr>
      <w:r>
        <w:t xml:space="preserve">図 </w:t>
      </w:r>
      <w:fldSimple w:instr=" SEQ 図 \* ARABIC ">
        <w:r>
          <w:rPr>
            <w:noProof/>
          </w:rPr>
          <w:t>2</w:t>
        </w:r>
      </w:fldSimple>
      <w:r>
        <w:rPr>
          <w:rFonts w:hint="eastAsia"/>
        </w:rPr>
        <w:t xml:space="preserve">　管種毎の管渠延長割合</w:t>
      </w:r>
    </w:p>
    <w:p w14:paraId="577DB4E7" w14:textId="77777777" w:rsidR="00A24611" w:rsidRPr="00116CF5" w:rsidRDefault="00A24611" w:rsidP="00116CF5">
      <w:pPr>
        <w:jc w:val="center"/>
        <w:sectPr w:rsidR="00A24611" w:rsidRPr="00116CF5" w:rsidSect="00116CF5">
          <w:footerReference w:type="default" r:id="rId9"/>
          <w:pgSz w:w="11906" w:h="16838"/>
          <w:pgMar w:top="1134" w:right="1418" w:bottom="1134" w:left="1418" w:header="851" w:footer="567" w:gutter="0"/>
          <w:cols w:space="425"/>
          <w:docGrid w:type="lines" w:linePitch="360"/>
        </w:sectPr>
      </w:pPr>
    </w:p>
    <w:p w14:paraId="7C1D286E" w14:textId="67D66113" w:rsidR="007275E6" w:rsidRDefault="007275E6" w:rsidP="00696D4B">
      <w:r>
        <w:rPr>
          <w:rFonts w:hint="eastAsia"/>
        </w:rPr>
        <w:lastRenderedPageBreak/>
        <w:t>（２）人孔に関する情報</w:t>
      </w:r>
    </w:p>
    <w:p w14:paraId="234AB74A" w14:textId="20D94258" w:rsidR="007275E6" w:rsidRDefault="005B695F" w:rsidP="005B695F">
      <w:pPr>
        <w:ind w:firstLineChars="100" w:firstLine="210"/>
      </w:pPr>
      <w:r>
        <w:rPr>
          <w:rFonts w:hint="eastAsia"/>
        </w:rPr>
        <w:t>本市の管理する人孔は</w:t>
      </w:r>
      <w:r w:rsidR="00BC0CD4">
        <w:rPr>
          <w:rFonts w:hint="eastAsia"/>
        </w:rPr>
        <w:t>88,137</w:t>
      </w:r>
      <w:r>
        <w:rPr>
          <w:rFonts w:hint="eastAsia"/>
        </w:rPr>
        <w:t>基となります。経過年数</w:t>
      </w:r>
      <w:r w:rsidR="008B6481">
        <w:rPr>
          <w:rFonts w:hint="eastAsia"/>
        </w:rPr>
        <w:t>が</w:t>
      </w:r>
      <w:r>
        <w:rPr>
          <w:rFonts w:hint="eastAsia"/>
        </w:rPr>
        <w:t>最も古い</w:t>
      </w:r>
      <w:r w:rsidR="008B6481">
        <w:rPr>
          <w:rFonts w:hint="eastAsia"/>
        </w:rPr>
        <w:t>人孔は</w:t>
      </w:r>
      <w:r w:rsidR="000D7BDA" w:rsidRPr="00BC0CD4">
        <w:rPr>
          <w:rFonts w:hint="eastAsia"/>
        </w:rPr>
        <w:t>1955年（令和6年度末時点で69年経過）</w:t>
      </w:r>
      <w:r>
        <w:rPr>
          <w:rFonts w:hint="eastAsia"/>
        </w:rPr>
        <w:t>に</w:t>
      </w:r>
      <w:r w:rsidR="000D7BDA">
        <w:rPr>
          <w:rFonts w:hint="eastAsia"/>
        </w:rPr>
        <w:t>設置</w:t>
      </w:r>
      <w:r>
        <w:rPr>
          <w:rFonts w:hint="eastAsia"/>
        </w:rPr>
        <w:t>された</w:t>
      </w:r>
      <w:r w:rsidR="000D7BDA">
        <w:rPr>
          <w:rFonts w:hint="eastAsia"/>
        </w:rPr>
        <w:t>人孔</w:t>
      </w:r>
      <w:r>
        <w:rPr>
          <w:rFonts w:hint="eastAsia"/>
        </w:rPr>
        <w:t>であり、</w:t>
      </w:r>
      <w:r w:rsidR="000D7BDA">
        <w:rPr>
          <w:rFonts w:hint="eastAsia"/>
        </w:rPr>
        <w:t>人孔本体</w:t>
      </w:r>
      <w:r>
        <w:rPr>
          <w:rFonts w:hint="eastAsia"/>
        </w:rPr>
        <w:t>の耐用年数である50年を経過した</w:t>
      </w:r>
      <w:r w:rsidR="000D7BDA">
        <w:rPr>
          <w:rFonts w:hint="eastAsia"/>
        </w:rPr>
        <w:t>人孔</w:t>
      </w:r>
      <w:r>
        <w:rPr>
          <w:rFonts w:hint="eastAsia"/>
        </w:rPr>
        <w:t>は令和6年度末時点で</w:t>
      </w:r>
      <w:r w:rsidR="000D7BDA">
        <w:rPr>
          <w:rFonts w:hint="eastAsia"/>
        </w:rPr>
        <w:t>3千基</w:t>
      </w:r>
      <w:r>
        <w:rPr>
          <w:rFonts w:hint="eastAsia"/>
        </w:rPr>
        <w:t>となります。20年後（令和26年度</w:t>
      </w:r>
      <w:r w:rsidR="008B6481">
        <w:rPr>
          <w:rFonts w:hint="eastAsia"/>
        </w:rPr>
        <w:t>）の</w:t>
      </w:r>
      <w:r>
        <w:rPr>
          <w:rFonts w:hint="eastAsia"/>
        </w:rPr>
        <w:t>50年経過</w:t>
      </w:r>
      <w:r w:rsidR="000D7BDA">
        <w:rPr>
          <w:rFonts w:hint="eastAsia"/>
        </w:rPr>
        <w:t>人孔</w:t>
      </w:r>
      <w:r>
        <w:rPr>
          <w:rFonts w:hint="eastAsia"/>
        </w:rPr>
        <w:t>は</w:t>
      </w:r>
      <w:r w:rsidR="000D7BDA">
        <w:rPr>
          <w:rFonts w:hint="eastAsia"/>
        </w:rPr>
        <w:t>33千基</w:t>
      </w:r>
      <w:r>
        <w:rPr>
          <w:rFonts w:hint="eastAsia"/>
        </w:rPr>
        <w:t>となり、現在の</w:t>
      </w:r>
      <w:r w:rsidR="000D7BDA">
        <w:rPr>
          <w:rFonts w:hint="eastAsia"/>
        </w:rPr>
        <w:t>10</w:t>
      </w:r>
      <w:r>
        <w:rPr>
          <w:rFonts w:hint="eastAsia"/>
        </w:rPr>
        <w:t>倍の</w:t>
      </w:r>
      <w:r w:rsidR="000D7BDA">
        <w:rPr>
          <w:rFonts w:hint="eastAsia"/>
        </w:rPr>
        <w:t>人孔</w:t>
      </w:r>
      <w:r>
        <w:rPr>
          <w:rFonts w:hint="eastAsia"/>
        </w:rPr>
        <w:t>が更新時期を迎えることとなります。</w:t>
      </w:r>
    </w:p>
    <w:p w14:paraId="59E63BBD" w14:textId="586C6E6A" w:rsidR="007275E6" w:rsidRDefault="008B6481" w:rsidP="005B695F">
      <w:pPr>
        <w:jc w:val="center"/>
      </w:pPr>
      <w:r w:rsidRPr="005B695F">
        <w:rPr>
          <w:noProof/>
        </w:rPr>
        <w:drawing>
          <wp:anchor distT="0" distB="0" distL="114300" distR="114300" simplePos="0" relativeHeight="251661312" behindDoc="0" locked="0" layoutInCell="1" allowOverlap="1" wp14:anchorId="4CD98F6B" wp14:editId="1B301B3D">
            <wp:simplePos x="0" y="0"/>
            <wp:positionH relativeFrom="margin">
              <wp:posOffset>657225</wp:posOffset>
            </wp:positionH>
            <wp:positionV relativeFrom="paragraph">
              <wp:posOffset>89535</wp:posOffset>
            </wp:positionV>
            <wp:extent cx="4692731" cy="2628000"/>
            <wp:effectExtent l="0" t="0" r="0" b="1270"/>
            <wp:wrapNone/>
            <wp:docPr id="544821168"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92731" cy="2628000"/>
                    </a:xfrm>
                    <a:prstGeom prst="rect">
                      <a:avLst/>
                    </a:prstGeom>
                    <a:noFill/>
                    <a:ln>
                      <a:noFill/>
                    </a:ln>
                  </pic:spPr>
                </pic:pic>
              </a:graphicData>
            </a:graphic>
          </wp:anchor>
        </w:drawing>
      </w:r>
    </w:p>
    <w:p w14:paraId="516E91C2" w14:textId="7A5FC921" w:rsidR="00995130" w:rsidRDefault="00995130" w:rsidP="005B695F">
      <w:pPr>
        <w:jc w:val="center"/>
      </w:pPr>
    </w:p>
    <w:p w14:paraId="4365D68E" w14:textId="77777777" w:rsidR="00995130" w:rsidRDefault="00995130" w:rsidP="005B695F">
      <w:pPr>
        <w:jc w:val="center"/>
      </w:pPr>
    </w:p>
    <w:p w14:paraId="4B67A9C0" w14:textId="77777777" w:rsidR="00995130" w:rsidRDefault="00995130" w:rsidP="005B695F">
      <w:pPr>
        <w:jc w:val="center"/>
      </w:pPr>
    </w:p>
    <w:p w14:paraId="50DE0AF1" w14:textId="77777777" w:rsidR="00995130" w:rsidRDefault="00995130" w:rsidP="005B695F">
      <w:pPr>
        <w:jc w:val="center"/>
      </w:pPr>
    </w:p>
    <w:p w14:paraId="24AFF739" w14:textId="77777777" w:rsidR="00995130" w:rsidRDefault="00995130" w:rsidP="005B695F">
      <w:pPr>
        <w:jc w:val="center"/>
      </w:pPr>
    </w:p>
    <w:p w14:paraId="1E7418D8" w14:textId="77777777" w:rsidR="00995130" w:rsidRDefault="00995130" w:rsidP="005B695F">
      <w:pPr>
        <w:jc w:val="center"/>
      </w:pPr>
    </w:p>
    <w:p w14:paraId="361CAABC" w14:textId="77777777" w:rsidR="00995130" w:rsidRDefault="00995130" w:rsidP="005B695F">
      <w:pPr>
        <w:jc w:val="center"/>
      </w:pPr>
    </w:p>
    <w:p w14:paraId="0D45285B" w14:textId="77777777" w:rsidR="00995130" w:rsidRDefault="00995130" w:rsidP="005B695F">
      <w:pPr>
        <w:jc w:val="center"/>
      </w:pPr>
    </w:p>
    <w:p w14:paraId="2C62556E" w14:textId="77777777" w:rsidR="00995130" w:rsidRDefault="00995130" w:rsidP="005B695F">
      <w:pPr>
        <w:jc w:val="center"/>
      </w:pPr>
    </w:p>
    <w:p w14:paraId="4AC98E5D" w14:textId="77777777" w:rsidR="008B6481" w:rsidRDefault="008B6481" w:rsidP="005B695F">
      <w:pPr>
        <w:jc w:val="center"/>
      </w:pPr>
    </w:p>
    <w:p w14:paraId="08FB1412" w14:textId="77777777" w:rsidR="008B6481" w:rsidRDefault="008B6481" w:rsidP="005B695F">
      <w:pPr>
        <w:jc w:val="center"/>
      </w:pPr>
    </w:p>
    <w:p w14:paraId="2CEE8351" w14:textId="62D1C412" w:rsidR="005B695F" w:rsidRDefault="005B695F" w:rsidP="005B695F">
      <w:pPr>
        <w:pStyle w:val="af"/>
        <w:jc w:val="center"/>
        <w:rPr>
          <w:lang w:eastAsia="zh-CN"/>
        </w:rPr>
      </w:pPr>
      <w:r>
        <w:rPr>
          <w:lang w:eastAsia="zh-CN"/>
        </w:rPr>
        <w:t xml:space="preserve">図 </w:t>
      </w:r>
      <w:r w:rsidR="00A24611">
        <w:rPr>
          <w:lang w:eastAsia="zh-CN"/>
        </w:rPr>
        <w:fldChar w:fldCharType="begin"/>
      </w:r>
      <w:r w:rsidR="00A24611">
        <w:rPr>
          <w:lang w:eastAsia="zh-CN"/>
        </w:rPr>
        <w:instrText xml:space="preserve"> SEQ 図 \* ARABIC </w:instrText>
      </w:r>
      <w:r w:rsidR="00A24611">
        <w:rPr>
          <w:lang w:eastAsia="zh-CN"/>
        </w:rPr>
        <w:fldChar w:fldCharType="separate"/>
      </w:r>
      <w:r w:rsidR="00A24611">
        <w:rPr>
          <w:noProof/>
          <w:lang w:eastAsia="zh-CN"/>
        </w:rPr>
        <w:t>3</w:t>
      </w:r>
      <w:r w:rsidR="00A24611">
        <w:rPr>
          <w:lang w:eastAsia="zh-CN"/>
        </w:rPr>
        <w:fldChar w:fldCharType="end"/>
      </w:r>
      <w:r>
        <w:rPr>
          <w:rFonts w:hint="eastAsia"/>
          <w:lang w:eastAsia="zh-CN"/>
        </w:rPr>
        <w:t xml:space="preserve">　経過年数別人孔基数</w:t>
      </w:r>
    </w:p>
    <w:p w14:paraId="059BA319" w14:textId="21A9D47D" w:rsidR="00272A1A" w:rsidRDefault="00272A1A">
      <w:pPr>
        <w:rPr>
          <w:lang w:eastAsia="zh-CN"/>
        </w:rPr>
      </w:pPr>
    </w:p>
    <w:p w14:paraId="2AE7840D" w14:textId="10436C3A" w:rsidR="007275E6" w:rsidRDefault="007275E6" w:rsidP="00696D4B">
      <w:r>
        <w:rPr>
          <w:rFonts w:hint="eastAsia"/>
        </w:rPr>
        <w:t>３．取付管に関する課題</w:t>
      </w:r>
    </w:p>
    <w:p w14:paraId="3895368A" w14:textId="79F7FCB7" w:rsidR="007275E6" w:rsidRDefault="00C33BB5" w:rsidP="00696D4B">
      <w:r w:rsidRPr="000C34FF">
        <w:rPr>
          <w:rFonts w:hint="eastAsia"/>
        </w:rPr>
        <w:t xml:space="preserve">　本市の</w:t>
      </w:r>
      <w:r w:rsidR="00DE000F" w:rsidRPr="000C34FF">
        <w:rPr>
          <w:rFonts w:hint="eastAsia"/>
        </w:rPr>
        <w:t>陥没の要因</w:t>
      </w:r>
      <w:r w:rsidR="00995130" w:rsidRPr="000C34FF">
        <w:rPr>
          <w:rFonts w:hint="eastAsia"/>
        </w:rPr>
        <w:t>は</w:t>
      </w:r>
      <w:r w:rsidR="00DE000F" w:rsidRPr="000C34FF">
        <w:rPr>
          <w:rFonts w:hint="eastAsia"/>
        </w:rPr>
        <w:t>取付管に起因するものが多く、</w:t>
      </w:r>
      <w:r w:rsidR="00995130" w:rsidRPr="000C34FF">
        <w:rPr>
          <w:rFonts w:hint="eastAsia"/>
        </w:rPr>
        <w:t>年間10件程度発生しています。本市では、陶管製の取付管起因の陥没発生を減少させるため、取付管カメラ調査の後、劣化状況に応じて改築する計画</w:t>
      </w:r>
      <w:r w:rsidR="008B6481">
        <w:rPr>
          <w:rFonts w:hint="eastAsia"/>
        </w:rPr>
        <w:t>を立てています</w:t>
      </w:r>
      <w:r w:rsidR="00995130">
        <w:rPr>
          <w:rFonts w:hint="eastAsia"/>
        </w:rPr>
        <w:t>。</w:t>
      </w:r>
    </w:p>
    <w:p w14:paraId="2E8D9611" w14:textId="3C549EBE" w:rsidR="002F5D22" w:rsidRDefault="002F5D22" w:rsidP="00696D4B">
      <w:r>
        <w:rPr>
          <w:rFonts w:hint="eastAsia"/>
        </w:rPr>
        <w:t xml:space="preserve">　本市の陶管製の取付管の設置数は1万箇所と想定</w:t>
      </w:r>
      <w:r w:rsidR="008B6481">
        <w:rPr>
          <w:rFonts w:hint="eastAsia"/>
        </w:rPr>
        <w:t>※</w:t>
      </w:r>
      <w:r>
        <w:rPr>
          <w:rFonts w:hint="eastAsia"/>
        </w:rPr>
        <w:t>され、うち緊急輸送道路下および路線バス道下に布設されている取付管は420箇所となります。また、令和5年度時点で経過年数が55年を超過している取付管は2,212箇所となり、これらの取付管は倉敷地区、児島地区に集中して布設されております。本市ではこれらの取付管に対し</w:t>
      </w:r>
      <w:r w:rsidR="008B6481">
        <w:rPr>
          <w:rFonts w:hint="eastAsia"/>
        </w:rPr>
        <w:t>、</w:t>
      </w:r>
      <w:r>
        <w:rPr>
          <w:rFonts w:hint="eastAsia"/>
        </w:rPr>
        <w:t>優先的に調査・改築更新を行う</w:t>
      </w:r>
      <w:r w:rsidR="008B6481">
        <w:rPr>
          <w:rFonts w:hint="eastAsia"/>
        </w:rPr>
        <w:t>こととしています</w:t>
      </w:r>
      <w:r>
        <w:rPr>
          <w:rFonts w:hint="eastAsia"/>
        </w:rPr>
        <w:t>。</w:t>
      </w:r>
    </w:p>
    <w:p w14:paraId="396C5BC7" w14:textId="40F63A13" w:rsidR="002F5D22" w:rsidRDefault="008B6481" w:rsidP="00696D4B">
      <w:r>
        <w:rPr>
          <w:rFonts w:hint="eastAsia"/>
        </w:rPr>
        <w:t>※台帳に登録されている陶管製の取付管数は</w:t>
      </w:r>
      <w:r w:rsidR="009A2B58">
        <w:rPr>
          <w:rFonts w:hint="eastAsia"/>
        </w:rPr>
        <w:t>約</w:t>
      </w:r>
      <w:r>
        <w:rPr>
          <w:rFonts w:hint="eastAsia"/>
        </w:rPr>
        <w:t>4,700箇所であり、その2倍程度と</w:t>
      </w:r>
      <w:r w:rsidR="009A2B58">
        <w:rPr>
          <w:rFonts w:hint="eastAsia"/>
        </w:rPr>
        <w:t>想定。</w:t>
      </w:r>
    </w:p>
    <w:p w14:paraId="45EEC1F8" w14:textId="30E3B960" w:rsidR="00995130" w:rsidRDefault="00995130" w:rsidP="00696D4B">
      <w:r>
        <w:rPr>
          <w:rFonts w:hint="eastAsia"/>
        </w:rPr>
        <w:t xml:space="preserve">　</w:t>
      </w:r>
      <w:r w:rsidRPr="00995130">
        <w:rPr>
          <w:noProof/>
        </w:rPr>
        <w:drawing>
          <wp:inline distT="0" distB="0" distL="0" distR="0" wp14:anchorId="50FAD6D4" wp14:editId="2321171E">
            <wp:extent cx="2551308" cy="1876057"/>
            <wp:effectExtent l="0" t="0" r="1905" b="0"/>
            <wp:docPr id="7" name="コンテンツ プレースホルダー 6" descr="グラフ, 棒グラフ&#10;&#10;AI 生成コンテンツは誤りを含む可能性があります。"/>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コンテンツ プレースホルダー 6" descr="グラフ, 棒グラフ&#10;&#10;AI 生成コンテンツは誤りを含む可能性があります。"/>
                    <pic:cNvPicPr>
                      <a:picLocks noGrp="1" noChangeAspect="1"/>
                    </pic:cNvPicPr>
                  </pic:nvPicPr>
                  <pic:blipFill>
                    <a:blip r:embed="rId11"/>
                    <a:stretch>
                      <a:fillRect/>
                    </a:stretch>
                  </pic:blipFill>
                  <pic:spPr>
                    <a:xfrm>
                      <a:off x="0" y="0"/>
                      <a:ext cx="2562749" cy="1884470"/>
                    </a:xfrm>
                    <a:prstGeom prst="rect">
                      <a:avLst/>
                    </a:prstGeom>
                  </pic:spPr>
                </pic:pic>
              </a:graphicData>
            </a:graphic>
          </wp:inline>
        </w:drawing>
      </w:r>
      <w:r w:rsidRPr="00995130">
        <w:rPr>
          <w:noProof/>
        </w:rPr>
        <w:drawing>
          <wp:inline distT="0" distB="0" distL="0" distR="0" wp14:anchorId="08287A75" wp14:editId="054CB111">
            <wp:extent cx="2896812" cy="1884045"/>
            <wp:effectExtent l="0" t="0" r="0" b="1905"/>
            <wp:docPr id="3" name="図 2" descr="グラフ, 折れ線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descr="グラフ, 折れ線グラフ&#10;&#10;AI 生成コンテンツは誤りを含む可能性があります。"/>
                    <pic:cNvPicPr>
                      <a:picLocks noChangeAspect="1"/>
                    </pic:cNvPicPr>
                  </pic:nvPicPr>
                  <pic:blipFill>
                    <a:blip r:embed="rId12"/>
                    <a:stretch>
                      <a:fillRect/>
                    </a:stretch>
                  </pic:blipFill>
                  <pic:spPr>
                    <a:xfrm>
                      <a:off x="0" y="0"/>
                      <a:ext cx="2896812" cy="1884045"/>
                    </a:xfrm>
                    <a:prstGeom prst="rect">
                      <a:avLst/>
                    </a:prstGeom>
                  </pic:spPr>
                </pic:pic>
              </a:graphicData>
            </a:graphic>
          </wp:inline>
        </w:drawing>
      </w:r>
    </w:p>
    <w:p w14:paraId="6ABAA24F" w14:textId="207B192B" w:rsidR="007275E6" w:rsidRDefault="00995130" w:rsidP="00995130">
      <w:pPr>
        <w:pStyle w:val="af"/>
        <w:jc w:val="center"/>
      </w:pPr>
      <w:r>
        <w:t xml:space="preserve">図 </w:t>
      </w:r>
      <w:fldSimple w:instr=" SEQ 図 \* ARABIC ">
        <w:r w:rsidR="00A24611">
          <w:rPr>
            <w:noProof/>
          </w:rPr>
          <w:t>4</w:t>
        </w:r>
      </w:fldSimple>
      <w:r>
        <w:rPr>
          <w:rFonts w:hint="eastAsia"/>
        </w:rPr>
        <w:t xml:space="preserve">　陥没の発生状況</w:t>
      </w:r>
    </w:p>
    <w:sectPr w:rsidR="007275E6" w:rsidSect="00AC4C2A">
      <w:pgSz w:w="11906" w:h="16838"/>
      <w:pgMar w:top="1134"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E0172" w14:textId="77777777" w:rsidR="00E331B6" w:rsidRDefault="00E331B6" w:rsidP="00E331B6">
      <w:r>
        <w:separator/>
      </w:r>
    </w:p>
  </w:endnote>
  <w:endnote w:type="continuationSeparator" w:id="0">
    <w:p w14:paraId="5EF91520" w14:textId="77777777" w:rsidR="00E331B6" w:rsidRDefault="00E331B6" w:rsidP="00E33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865678"/>
      <w:docPartObj>
        <w:docPartGallery w:val="Page Numbers (Bottom of Page)"/>
        <w:docPartUnique/>
      </w:docPartObj>
    </w:sdtPr>
    <w:sdtEndPr/>
    <w:sdtContent>
      <w:p w14:paraId="49D44601" w14:textId="45579BE0" w:rsidR="00E331B6" w:rsidRDefault="00E331B6">
        <w:pPr>
          <w:pStyle w:val="ad"/>
          <w:jc w:val="center"/>
        </w:pPr>
        <w:r>
          <w:fldChar w:fldCharType="begin"/>
        </w:r>
        <w:r>
          <w:instrText>PAGE   \* MERGEFORMAT</w:instrText>
        </w:r>
        <w:r>
          <w:fldChar w:fldCharType="separate"/>
        </w:r>
        <w:r>
          <w:rPr>
            <w:lang w:val="ja-JP"/>
          </w:rPr>
          <w:t>2</w:t>
        </w:r>
        <w:r>
          <w:fldChar w:fldCharType="end"/>
        </w:r>
      </w:p>
    </w:sdtContent>
  </w:sdt>
  <w:p w14:paraId="596B8768" w14:textId="77777777" w:rsidR="00E331B6" w:rsidRDefault="00E331B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348BD" w14:textId="77777777" w:rsidR="00E331B6" w:rsidRDefault="00E331B6" w:rsidP="00E331B6">
      <w:r>
        <w:separator/>
      </w:r>
    </w:p>
  </w:footnote>
  <w:footnote w:type="continuationSeparator" w:id="0">
    <w:p w14:paraId="235EFB3A" w14:textId="77777777" w:rsidR="00E331B6" w:rsidRDefault="00E331B6" w:rsidP="00E331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34"/>
    <w:rsid w:val="00036926"/>
    <w:rsid w:val="000C34FF"/>
    <w:rsid w:val="000D7BDA"/>
    <w:rsid w:val="00101ADE"/>
    <w:rsid w:val="00116CF5"/>
    <w:rsid w:val="001938B9"/>
    <w:rsid w:val="00243DC4"/>
    <w:rsid w:val="00272A1A"/>
    <w:rsid w:val="00283CEF"/>
    <w:rsid w:val="002B3B19"/>
    <w:rsid w:val="002B55D0"/>
    <w:rsid w:val="002C3BF4"/>
    <w:rsid w:val="002E72A2"/>
    <w:rsid w:val="002F5D22"/>
    <w:rsid w:val="0032140D"/>
    <w:rsid w:val="003C3588"/>
    <w:rsid w:val="003C5029"/>
    <w:rsid w:val="003F5BE1"/>
    <w:rsid w:val="00492696"/>
    <w:rsid w:val="00492BFC"/>
    <w:rsid w:val="00571646"/>
    <w:rsid w:val="00573133"/>
    <w:rsid w:val="005A7F1D"/>
    <w:rsid w:val="005B695F"/>
    <w:rsid w:val="00647B3B"/>
    <w:rsid w:val="00696D4B"/>
    <w:rsid w:val="006B3413"/>
    <w:rsid w:val="006F0A66"/>
    <w:rsid w:val="007129EE"/>
    <w:rsid w:val="007275E6"/>
    <w:rsid w:val="007B77A8"/>
    <w:rsid w:val="007C252F"/>
    <w:rsid w:val="007F3C71"/>
    <w:rsid w:val="0080666D"/>
    <w:rsid w:val="008408A2"/>
    <w:rsid w:val="008428E9"/>
    <w:rsid w:val="008B6481"/>
    <w:rsid w:val="00950856"/>
    <w:rsid w:val="00957A91"/>
    <w:rsid w:val="00972D1E"/>
    <w:rsid w:val="00995130"/>
    <w:rsid w:val="009A2B58"/>
    <w:rsid w:val="009C3E4B"/>
    <w:rsid w:val="009D7CD2"/>
    <w:rsid w:val="00A24611"/>
    <w:rsid w:val="00A60F5C"/>
    <w:rsid w:val="00A81EBB"/>
    <w:rsid w:val="00AB325C"/>
    <w:rsid w:val="00AC4C2A"/>
    <w:rsid w:val="00AE6117"/>
    <w:rsid w:val="00BC0CD4"/>
    <w:rsid w:val="00C33BB5"/>
    <w:rsid w:val="00C43F34"/>
    <w:rsid w:val="00C91477"/>
    <w:rsid w:val="00DE000F"/>
    <w:rsid w:val="00DE3527"/>
    <w:rsid w:val="00E331B6"/>
    <w:rsid w:val="00E85EC8"/>
    <w:rsid w:val="00EC3EDC"/>
    <w:rsid w:val="00ED047A"/>
    <w:rsid w:val="00F63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CE7E34"/>
  <w15:chartTrackingRefBased/>
  <w15:docId w15:val="{73139980-A93F-4676-823A-04F45663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43F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C43F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3F3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43F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3F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3F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3F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3F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3F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3F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C43F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3F3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43F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3F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3F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3F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3F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3F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3F3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3F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3F3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3F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3F34"/>
    <w:pPr>
      <w:spacing w:before="160" w:after="160"/>
      <w:jc w:val="center"/>
    </w:pPr>
    <w:rPr>
      <w:i/>
      <w:iCs/>
      <w:color w:val="404040" w:themeColor="text1" w:themeTint="BF"/>
    </w:rPr>
  </w:style>
  <w:style w:type="character" w:customStyle="1" w:styleId="a8">
    <w:name w:val="引用文 (文字)"/>
    <w:basedOn w:val="a0"/>
    <w:link w:val="a7"/>
    <w:uiPriority w:val="29"/>
    <w:rsid w:val="00C43F34"/>
    <w:rPr>
      <w:i/>
      <w:iCs/>
      <w:color w:val="404040" w:themeColor="text1" w:themeTint="BF"/>
    </w:rPr>
  </w:style>
  <w:style w:type="paragraph" w:styleId="a9">
    <w:name w:val="List Paragraph"/>
    <w:basedOn w:val="a"/>
    <w:uiPriority w:val="34"/>
    <w:qFormat/>
    <w:rsid w:val="00C43F34"/>
    <w:pPr>
      <w:ind w:left="720"/>
      <w:contextualSpacing/>
    </w:pPr>
  </w:style>
  <w:style w:type="character" w:styleId="21">
    <w:name w:val="Intense Emphasis"/>
    <w:basedOn w:val="a0"/>
    <w:uiPriority w:val="21"/>
    <w:qFormat/>
    <w:rsid w:val="00C43F34"/>
    <w:rPr>
      <w:i/>
      <w:iCs/>
      <w:color w:val="0F4761" w:themeColor="accent1" w:themeShade="BF"/>
    </w:rPr>
  </w:style>
  <w:style w:type="paragraph" w:styleId="22">
    <w:name w:val="Intense Quote"/>
    <w:basedOn w:val="a"/>
    <w:next w:val="a"/>
    <w:link w:val="23"/>
    <w:uiPriority w:val="30"/>
    <w:qFormat/>
    <w:rsid w:val="00C43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43F34"/>
    <w:rPr>
      <w:i/>
      <w:iCs/>
      <w:color w:val="0F4761" w:themeColor="accent1" w:themeShade="BF"/>
    </w:rPr>
  </w:style>
  <w:style w:type="character" w:styleId="24">
    <w:name w:val="Intense Reference"/>
    <w:basedOn w:val="a0"/>
    <w:uiPriority w:val="32"/>
    <w:qFormat/>
    <w:rsid w:val="00C43F34"/>
    <w:rPr>
      <w:b/>
      <w:bCs/>
      <w:smallCaps/>
      <w:color w:val="0F4761" w:themeColor="accent1" w:themeShade="BF"/>
      <w:spacing w:val="5"/>
    </w:rPr>
  </w:style>
  <w:style w:type="table" w:styleId="aa">
    <w:name w:val="Table Grid"/>
    <w:basedOn w:val="a1"/>
    <w:uiPriority w:val="39"/>
    <w:rsid w:val="00C43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331B6"/>
    <w:pPr>
      <w:tabs>
        <w:tab w:val="center" w:pos="4252"/>
        <w:tab w:val="right" w:pos="8504"/>
      </w:tabs>
      <w:snapToGrid w:val="0"/>
    </w:pPr>
  </w:style>
  <w:style w:type="character" w:customStyle="1" w:styleId="ac">
    <w:name w:val="ヘッダー (文字)"/>
    <w:basedOn w:val="a0"/>
    <w:link w:val="ab"/>
    <w:uiPriority w:val="99"/>
    <w:rsid w:val="00E331B6"/>
  </w:style>
  <w:style w:type="paragraph" w:styleId="ad">
    <w:name w:val="footer"/>
    <w:basedOn w:val="a"/>
    <w:link w:val="ae"/>
    <w:uiPriority w:val="99"/>
    <w:unhideWhenUsed/>
    <w:rsid w:val="00E331B6"/>
    <w:pPr>
      <w:tabs>
        <w:tab w:val="center" w:pos="4252"/>
        <w:tab w:val="right" w:pos="8504"/>
      </w:tabs>
      <w:snapToGrid w:val="0"/>
    </w:pPr>
  </w:style>
  <w:style w:type="character" w:customStyle="1" w:styleId="ae">
    <w:name w:val="フッター (文字)"/>
    <w:basedOn w:val="a0"/>
    <w:link w:val="ad"/>
    <w:uiPriority w:val="99"/>
    <w:rsid w:val="00E331B6"/>
  </w:style>
  <w:style w:type="paragraph" w:styleId="af">
    <w:name w:val="caption"/>
    <w:basedOn w:val="a"/>
    <w:next w:val="a"/>
    <w:uiPriority w:val="35"/>
    <w:unhideWhenUsed/>
    <w:qFormat/>
    <w:rsid w:val="00972D1E"/>
    <w:rPr>
      <w:b/>
      <w:bCs/>
      <w:szCs w:val="21"/>
    </w:rPr>
  </w:style>
  <w:style w:type="paragraph" w:styleId="af0">
    <w:name w:val="Revision"/>
    <w:hidden/>
    <w:uiPriority w:val="99"/>
    <w:semiHidden/>
    <w:rsid w:val="00573133"/>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4742">
      <w:bodyDiv w:val="1"/>
      <w:marLeft w:val="0"/>
      <w:marRight w:val="0"/>
      <w:marTop w:val="0"/>
      <w:marBottom w:val="0"/>
      <w:divBdr>
        <w:top w:val="none" w:sz="0" w:space="0" w:color="auto"/>
        <w:left w:val="none" w:sz="0" w:space="0" w:color="auto"/>
        <w:bottom w:val="none" w:sz="0" w:space="0" w:color="auto"/>
        <w:right w:val="none" w:sz="0" w:space="0" w:color="auto"/>
      </w:divBdr>
    </w:div>
    <w:div w:id="105732079">
      <w:bodyDiv w:val="1"/>
      <w:marLeft w:val="0"/>
      <w:marRight w:val="0"/>
      <w:marTop w:val="0"/>
      <w:marBottom w:val="0"/>
      <w:divBdr>
        <w:top w:val="none" w:sz="0" w:space="0" w:color="auto"/>
        <w:left w:val="none" w:sz="0" w:space="0" w:color="auto"/>
        <w:bottom w:val="none" w:sz="0" w:space="0" w:color="auto"/>
        <w:right w:val="none" w:sz="0" w:space="0" w:color="auto"/>
      </w:divBdr>
    </w:div>
    <w:div w:id="293216905">
      <w:bodyDiv w:val="1"/>
      <w:marLeft w:val="0"/>
      <w:marRight w:val="0"/>
      <w:marTop w:val="0"/>
      <w:marBottom w:val="0"/>
      <w:divBdr>
        <w:top w:val="none" w:sz="0" w:space="0" w:color="auto"/>
        <w:left w:val="none" w:sz="0" w:space="0" w:color="auto"/>
        <w:bottom w:val="none" w:sz="0" w:space="0" w:color="auto"/>
        <w:right w:val="none" w:sz="0" w:space="0" w:color="auto"/>
      </w:divBdr>
    </w:div>
    <w:div w:id="349257218">
      <w:bodyDiv w:val="1"/>
      <w:marLeft w:val="0"/>
      <w:marRight w:val="0"/>
      <w:marTop w:val="0"/>
      <w:marBottom w:val="0"/>
      <w:divBdr>
        <w:top w:val="none" w:sz="0" w:space="0" w:color="auto"/>
        <w:left w:val="none" w:sz="0" w:space="0" w:color="auto"/>
        <w:bottom w:val="none" w:sz="0" w:space="0" w:color="auto"/>
        <w:right w:val="none" w:sz="0" w:space="0" w:color="auto"/>
      </w:divBdr>
    </w:div>
    <w:div w:id="467282406">
      <w:bodyDiv w:val="1"/>
      <w:marLeft w:val="0"/>
      <w:marRight w:val="0"/>
      <w:marTop w:val="0"/>
      <w:marBottom w:val="0"/>
      <w:divBdr>
        <w:top w:val="none" w:sz="0" w:space="0" w:color="auto"/>
        <w:left w:val="none" w:sz="0" w:space="0" w:color="auto"/>
        <w:bottom w:val="none" w:sz="0" w:space="0" w:color="auto"/>
        <w:right w:val="none" w:sz="0" w:space="0" w:color="auto"/>
      </w:divBdr>
    </w:div>
    <w:div w:id="786509067">
      <w:bodyDiv w:val="1"/>
      <w:marLeft w:val="0"/>
      <w:marRight w:val="0"/>
      <w:marTop w:val="0"/>
      <w:marBottom w:val="0"/>
      <w:divBdr>
        <w:top w:val="none" w:sz="0" w:space="0" w:color="auto"/>
        <w:left w:val="none" w:sz="0" w:space="0" w:color="auto"/>
        <w:bottom w:val="none" w:sz="0" w:space="0" w:color="auto"/>
        <w:right w:val="none" w:sz="0" w:space="0" w:color="auto"/>
      </w:divBdr>
    </w:div>
    <w:div w:id="792944700">
      <w:bodyDiv w:val="1"/>
      <w:marLeft w:val="0"/>
      <w:marRight w:val="0"/>
      <w:marTop w:val="0"/>
      <w:marBottom w:val="0"/>
      <w:divBdr>
        <w:top w:val="none" w:sz="0" w:space="0" w:color="auto"/>
        <w:left w:val="none" w:sz="0" w:space="0" w:color="auto"/>
        <w:bottom w:val="none" w:sz="0" w:space="0" w:color="auto"/>
        <w:right w:val="none" w:sz="0" w:space="0" w:color="auto"/>
      </w:divBdr>
    </w:div>
    <w:div w:id="921992540">
      <w:bodyDiv w:val="1"/>
      <w:marLeft w:val="0"/>
      <w:marRight w:val="0"/>
      <w:marTop w:val="0"/>
      <w:marBottom w:val="0"/>
      <w:divBdr>
        <w:top w:val="none" w:sz="0" w:space="0" w:color="auto"/>
        <w:left w:val="none" w:sz="0" w:space="0" w:color="auto"/>
        <w:bottom w:val="none" w:sz="0" w:space="0" w:color="auto"/>
        <w:right w:val="none" w:sz="0" w:space="0" w:color="auto"/>
      </w:divBdr>
    </w:div>
    <w:div w:id="1046878942">
      <w:bodyDiv w:val="1"/>
      <w:marLeft w:val="0"/>
      <w:marRight w:val="0"/>
      <w:marTop w:val="0"/>
      <w:marBottom w:val="0"/>
      <w:divBdr>
        <w:top w:val="none" w:sz="0" w:space="0" w:color="auto"/>
        <w:left w:val="none" w:sz="0" w:space="0" w:color="auto"/>
        <w:bottom w:val="none" w:sz="0" w:space="0" w:color="auto"/>
        <w:right w:val="none" w:sz="0" w:space="0" w:color="auto"/>
      </w:divBdr>
    </w:div>
    <w:div w:id="1110010796">
      <w:bodyDiv w:val="1"/>
      <w:marLeft w:val="0"/>
      <w:marRight w:val="0"/>
      <w:marTop w:val="0"/>
      <w:marBottom w:val="0"/>
      <w:divBdr>
        <w:top w:val="none" w:sz="0" w:space="0" w:color="auto"/>
        <w:left w:val="none" w:sz="0" w:space="0" w:color="auto"/>
        <w:bottom w:val="none" w:sz="0" w:space="0" w:color="auto"/>
        <w:right w:val="none" w:sz="0" w:space="0" w:color="auto"/>
      </w:divBdr>
    </w:div>
    <w:div w:id="1511749508">
      <w:bodyDiv w:val="1"/>
      <w:marLeft w:val="0"/>
      <w:marRight w:val="0"/>
      <w:marTop w:val="0"/>
      <w:marBottom w:val="0"/>
      <w:divBdr>
        <w:top w:val="none" w:sz="0" w:space="0" w:color="auto"/>
        <w:left w:val="none" w:sz="0" w:space="0" w:color="auto"/>
        <w:bottom w:val="none" w:sz="0" w:space="0" w:color="auto"/>
        <w:right w:val="none" w:sz="0" w:space="0" w:color="auto"/>
      </w:divBdr>
    </w:div>
    <w:div w:id="1519270453">
      <w:bodyDiv w:val="1"/>
      <w:marLeft w:val="0"/>
      <w:marRight w:val="0"/>
      <w:marTop w:val="0"/>
      <w:marBottom w:val="0"/>
      <w:divBdr>
        <w:top w:val="none" w:sz="0" w:space="0" w:color="auto"/>
        <w:left w:val="none" w:sz="0" w:space="0" w:color="auto"/>
        <w:bottom w:val="none" w:sz="0" w:space="0" w:color="auto"/>
        <w:right w:val="none" w:sz="0" w:space="0" w:color="auto"/>
      </w:divBdr>
    </w:div>
    <w:div w:id="1769304244">
      <w:bodyDiv w:val="1"/>
      <w:marLeft w:val="0"/>
      <w:marRight w:val="0"/>
      <w:marTop w:val="0"/>
      <w:marBottom w:val="0"/>
      <w:divBdr>
        <w:top w:val="none" w:sz="0" w:space="0" w:color="auto"/>
        <w:left w:val="none" w:sz="0" w:space="0" w:color="auto"/>
        <w:bottom w:val="none" w:sz="0" w:space="0" w:color="auto"/>
        <w:right w:val="none" w:sz="0" w:space="0" w:color="auto"/>
      </w:divBdr>
    </w:div>
    <w:div w:id="1769809531">
      <w:bodyDiv w:val="1"/>
      <w:marLeft w:val="0"/>
      <w:marRight w:val="0"/>
      <w:marTop w:val="0"/>
      <w:marBottom w:val="0"/>
      <w:divBdr>
        <w:top w:val="none" w:sz="0" w:space="0" w:color="auto"/>
        <w:left w:val="none" w:sz="0" w:space="0" w:color="auto"/>
        <w:bottom w:val="none" w:sz="0" w:space="0" w:color="auto"/>
        <w:right w:val="none" w:sz="0" w:space="0" w:color="auto"/>
      </w:divBdr>
    </w:div>
    <w:div w:id="1883513080">
      <w:bodyDiv w:val="1"/>
      <w:marLeft w:val="0"/>
      <w:marRight w:val="0"/>
      <w:marTop w:val="0"/>
      <w:marBottom w:val="0"/>
      <w:divBdr>
        <w:top w:val="none" w:sz="0" w:space="0" w:color="auto"/>
        <w:left w:val="none" w:sz="0" w:space="0" w:color="auto"/>
        <w:bottom w:val="none" w:sz="0" w:space="0" w:color="auto"/>
        <w:right w:val="none" w:sz="0" w:space="0" w:color="auto"/>
      </w:divBdr>
    </w:div>
    <w:div w:id="1955016698">
      <w:bodyDiv w:val="1"/>
      <w:marLeft w:val="0"/>
      <w:marRight w:val="0"/>
      <w:marTop w:val="0"/>
      <w:marBottom w:val="0"/>
      <w:divBdr>
        <w:top w:val="none" w:sz="0" w:space="0" w:color="auto"/>
        <w:left w:val="none" w:sz="0" w:space="0" w:color="auto"/>
        <w:bottom w:val="none" w:sz="0" w:space="0" w:color="auto"/>
        <w:right w:val="none" w:sz="0" w:space="0" w:color="auto"/>
      </w:divBdr>
    </w:div>
    <w:div w:id="1964722969">
      <w:bodyDiv w:val="1"/>
      <w:marLeft w:val="0"/>
      <w:marRight w:val="0"/>
      <w:marTop w:val="0"/>
      <w:marBottom w:val="0"/>
      <w:divBdr>
        <w:top w:val="none" w:sz="0" w:space="0" w:color="auto"/>
        <w:left w:val="none" w:sz="0" w:space="0" w:color="auto"/>
        <w:bottom w:val="none" w:sz="0" w:space="0" w:color="auto"/>
        <w:right w:val="none" w:sz="0" w:space="0" w:color="auto"/>
      </w:divBdr>
    </w:div>
    <w:div w:id="197618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3FAA4-1DBE-4AD0-96B3-E29FC05EF7B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866</TotalTime>
  <Pages>3</Pages>
  <Words>222</Words>
  <Characters>1272</Characters>
  <DocSecurity>0</DocSecurity>
  <Lines>10</Lines>
  <Paragraphs>2</Paragraphs>
  <ScaleCrop>false</ScaleCrop>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2025-05-27T04:04:00Z</dcterms:created>
  <dcterms:modified xsi:type="dcterms:W3CDTF">2025-07-15T02:45:00Z</dcterms:modified>
</cp:coreProperties>
</file>